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8"/>
          <w:szCs w:val="28"/>
        </w:rPr>
      </w:pPr>
      <w:r w:rsidDel="00000000" w:rsidR="00000000" w:rsidRPr="00000000">
        <w:rPr>
          <w:b w:val="1"/>
          <w:bCs w:val="1"/>
          <w:sz w:val="28"/>
          <w:szCs w:val="28"/>
        </w:rPr>
        <w:drawing>
          <wp:inline distB="114300" distT="114300" distL="114300" distR="114300">
            <wp:extent cx="2300288" cy="6992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0288" cy="699257"/>
                    </a:xfrm>
                    <a:prstGeom prst="rect"/>
                    <a:ln/>
                  </pic:spPr>
                </pic:pic>
              </a:graphicData>
            </a:graphic>
          </wp:inline>
        </w:drawing>
      </w:r>
      <w:r w:rsidDel="00000000" w:rsidR="00000000" w:rsidRPr="00000000">
        <w:rPr>
          <w:b w:val="1"/>
          <w:bCs w:val="1"/>
          <w:sz w:val="28"/>
          <w:szCs w:val="28"/>
          <w:rtl w:val="0"/>
        </w:rPr>
        <w:t xml:space="preserve"> </w:t>
      </w:r>
    </w:p>
    <w:p w:rsidR="00000000" w:rsidDel="00000000" w:rsidP="00000000" w:rsidRDefault="00000000" w:rsidRPr="00000000" w14:paraId="00000002">
      <w:pPr>
        <w:spacing w:line="276" w:lineRule="auto"/>
        <w:rPr/>
      </w:pPr>
      <w:r w:rsidDel="00000000" w:rsidR="00000000" w:rsidRPr="00000000">
        <w:rPr>
          <w:b w:val="1"/>
          <w:bCs w:val="1"/>
          <w:color w:val="46059a"/>
          <w:sz w:val="24"/>
          <w:szCs w:val="24"/>
          <w:rtl w:val="0"/>
        </w:rPr>
        <w:t xml:space="preserve">Disability and Dyslexia Support Service (DDSS) Support Worker Service (SWS)</w:t>
      </w:r>
      <w:r w:rsidDel="00000000" w:rsidR="00000000" w:rsidRPr="00000000">
        <w:rPr>
          <w:rtl w:val="0"/>
        </w:rPr>
      </w:r>
    </w:p>
    <w:p w:rsidR="00000000" w:rsidDel="00000000" w:rsidP="00000000" w:rsidRDefault="00000000" w:rsidRPr="00000000" w14:paraId="00000003">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44"/>
          <w:szCs w:val="44"/>
        </w:rPr>
      </w:pPr>
      <w:bookmarkStart w:colFirst="0" w:colLast="0" w:name="_gjdgxs" w:id="0"/>
      <w:bookmarkEnd w:id="0"/>
      <w:r w:rsidDel="00000000" w:rsidR="00000000" w:rsidRPr="00000000">
        <w:rPr>
          <w:rFonts w:ascii="Source Sans Pro" w:cs="Source Sans Pro" w:eastAsia="Source Sans Pro" w:hAnsi="Source Sans Pro"/>
          <w:b w:val="1"/>
          <w:bCs w:val="1"/>
          <w:color w:val="232a3c"/>
          <w:sz w:val="44"/>
          <w:szCs w:val="44"/>
          <w:rtl w:val="0"/>
        </w:rPr>
        <w:t xml:space="preserve">Exam Support Worker- Casual </w:t>
      </w:r>
    </w:p>
    <w:p w:rsidR="00000000" w:rsidDel="00000000" w:rsidP="00000000" w:rsidRDefault="00000000" w:rsidRPr="00000000" w14:paraId="00000004">
      <w:pPr>
        <w:tabs>
          <w:tab w:val="left" w:leader="none" w:pos="1418"/>
        </w:tabs>
        <w:rPr/>
      </w:pPr>
      <w:r w:rsidDel="00000000" w:rsidR="00000000" w:rsidRPr="00000000">
        <w:rPr>
          <w:rtl w:val="0"/>
        </w:rPr>
      </w:r>
    </w:p>
    <w:p w:rsidR="00000000" w:rsidDel="00000000" w:rsidP="00000000" w:rsidRDefault="00000000" w:rsidRPr="00000000" w14:paraId="00000005">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124"/>
          <w:szCs w:val="124"/>
        </w:rPr>
      </w:pPr>
      <w:bookmarkStart w:colFirst="0" w:colLast="0" w:name="_t6kusdliyev7" w:id="1"/>
      <w:bookmarkEnd w:id="1"/>
      <w:r w:rsidDel="00000000" w:rsidR="00000000" w:rsidRPr="00000000">
        <w:rPr>
          <w:rFonts w:ascii="Source Sans Pro" w:cs="Source Sans Pro" w:eastAsia="Source Sans Pro" w:hAnsi="Source Sans Pro"/>
          <w:b w:val="1"/>
          <w:bCs w:val="1"/>
          <w:color w:val="232a3c"/>
          <w:sz w:val="28"/>
          <w:szCs w:val="28"/>
          <w:rtl w:val="0"/>
        </w:rPr>
        <w:t xml:space="preserve">Overview</w:t>
      </w:r>
      <w:r w:rsidDel="00000000" w:rsidR="00000000" w:rsidRPr="00000000">
        <w:rPr>
          <w:rtl w:val="0"/>
        </w:rPr>
      </w:r>
    </w:p>
    <w:tbl>
      <w:tblPr>
        <w:tblStyle w:val="Table1"/>
        <w:tblpPr w:leftFromText="180" w:rightFromText="180" w:topFromText="0" w:bottomFromText="0" w:vertAnchor="text" w:horzAnchor="text" w:tblpX="0" w:tblpY="0"/>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5"/>
        <w:tblGridChange w:id="0">
          <w:tblGrid>
            <w:gridCol w:w="9825"/>
          </w:tblGrid>
        </w:tblGridChange>
      </w:tblGrid>
      <w:tr>
        <w:trPr>
          <w:cantSplit w:val="0"/>
          <w:trHeight w:val="3995" w:hRule="atLeast"/>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06">
            <w:pPr>
              <w:spacing w:line="276" w:lineRule="auto"/>
              <w:rPr/>
            </w:pPr>
            <w:r w:rsidDel="00000000" w:rsidR="00000000" w:rsidRPr="00000000">
              <w:rPr>
                <w:rtl w:val="0"/>
              </w:rPr>
              <w:t xml:space="preserve">DDSS Student Support Workers provide </w:t>
            </w:r>
            <w:r w:rsidDel="00000000" w:rsidR="00000000" w:rsidRPr="00000000">
              <w:rPr>
                <w:b w:val="1"/>
                <w:bCs w:val="1"/>
                <w:rtl w:val="0"/>
              </w:rPr>
              <w:t xml:space="preserve">1:1 support to a disabled student</w:t>
            </w:r>
            <w:r w:rsidDel="00000000" w:rsidR="00000000" w:rsidRPr="00000000">
              <w:rPr>
                <w:rtl w:val="0"/>
              </w:rPr>
              <w:t xml:space="preserve"> who is studying at the University of Sheffield.</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The Support Worker Service coordinates and arranges support workers for disabled students at the University of Sheffield. Students who have met with a DDSS Disability Advisor are referred for disability adjustments, if the adjustment requires a support worker, a referral is made to our service.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We have various roles available, depending on the referrals we have during the academic year. The support is focussed on the student’s disability needs and how we can help to remove barriers for students accessing their learning environment.</w:t>
            </w:r>
          </w:p>
          <w:p w:rsidR="00000000" w:rsidDel="00000000" w:rsidP="00000000" w:rsidRDefault="00000000" w:rsidRPr="00000000" w14:paraId="0000000B">
            <w:pPr>
              <w:spacing w:after="240" w:before="240" w:line="276" w:lineRule="auto"/>
              <w:rPr>
                <w:rFonts w:ascii="Source Sans Pro" w:cs="Source Sans Pro" w:eastAsia="Source Sans Pro" w:hAnsi="Source Sans Pro"/>
                <w:color w:val="232a3c"/>
              </w:rPr>
            </w:pPr>
            <w:r w:rsidDel="00000000" w:rsidR="00000000" w:rsidRPr="00000000">
              <w:rPr>
                <w:rtl w:val="0"/>
              </w:rPr>
              <w:t xml:space="preserve">Completing our Expression of Interest form will add you to our mailing list so we can notify you if we have any new vacancies. </w:t>
            </w:r>
            <w:r w:rsidDel="00000000" w:rsidR="00000000" w:rsidRPr="00000000">
              <w:rPr>
                <w:rtl w:val="0"/>
              </w:rPr>
            </w:r>
          </w:p>
        </w:tc>
      </w:tr>
    </w:tbl>
    <w:p w:rsidR="00000000" w:rsidDel="00000000" w:rsidP="00000000" w:rsidRDefault="00000000" w:rsidRPr="00000000" w14:paraId="0000000C">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20"/>
          <w:szCs w:val="20"/>
        </w:rPr>
      </w:pPr>
      <w:bookmarkStart w:colFirst="0" w:colLast="0" w:name="_6vz4khss5hgf" w:id="2"/>
      <w:bookmarkEnd w:id="2"/>
      <w:r w:rsidDel="00000000" w:rsidR="00000000" w:rsidRPr="00000000">
        <w:rPr>
          <w:rtl w:val="0"/>
        </w:rPr>
      </w:r>
    </w:p>
    <w:tbl>
      <w:tblPr>
        <w:tblStyle w:val="Table2"/>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7140"/>
        <w:tblGridChange w:id="0">
          <w:tblGrid>
            <w:gridCol w:w="2685"/>
            <w:gridCol w:w="71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tcMar>
              <w:top w:w="100.0" w:type="dxa"/>
              <w:left w:w="100.0" w:type="dxa"/>
              <w:bottom w:w="100.0" w:type="dxa"/>
              <w:right w:w="100.0" w:type="dxa"/>
            </w:tcMar>
          </w:tcPr>
          <w:p w:rsidR="00000000" w:rsidDel="00000000" w:rsidP="00000000" w:rsidRDefault="00000000" w:rsidRPr="00000000" w14:paraId="0000000D">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KEY INFORMATION</w:t>
            </w:r>
          </w:p>
        </w:tc>
        <w:tc>
          <w:tcPr>
            <w:tcBorders>
              <w:top w:color="ffffff" w:space="0" w:sz="8" w:val="single"/>
              <w:left w:color="ffffff" w:space="0" w:sz="8" w:val="single"/>
              <w:bottom w:color="ffffff" w:space="0" w:sz="8" w:val="single"/>
              <w:right w:color="ffffff" w:space="0" w:sz="8" w:val="single"/>
            </w:tcBorders>
            <w:shd w:fill="d9d9d9" w:val="clear"/>
            <w:tcMar>
              <w:top w:w="100.0" w:type="dxa"/>
              <w:left w:w="100.0" w:type="dxa"/>
              <w:bottom w:w="100.0" w:type="dxa"/>
              <w:right w:w="100.0" w:type="dxa"/>
            </w:tcMar>
          </w:tcPr>
          <w:p w:rsidR="00000000" w:rsidDel="00000000" w:rsidP="00000000" w:rsidRDefault="00000000" w:rsidRPr="00000000" w14:paraId="0000000E">
            <w:pPr>
              <w:widowControl w:val="0"/>
              <w:ind w:right="-129"/>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Description</w:t>
            </w:r>
          </w:p>
        </w:tc>
      </w:tr>
      <w:tr>
        <w:trPr>
          <w:cantSplit w:val="0"/>
          <w:trHeight w:val="521" w:hRule="atLeast"/>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0F">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Faculty/ Department</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0">
            <w:pPr>
              <w:widowControl w:val="0"/>
              <w:ind w:right="-129"/>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 DDSS Support Worker Service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1">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Website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2">
            <w:pPr>
              <w:widowControl w:val="0"/>
              <w:rPr>
                <w:rFonts w:ascii="Source Sans Pro" w:cs="Source Sans Pro" w:eastAsia="Source Sans Pro" w:hAnsi="Source Sans Pro"/>
                <w:color w:val="232a3c"/>
                <w:sz w:val="20"/>
                <w:szCs w:val="20"/>
                <w:shd w:fill="ece6f5" w:val="clear"/>
              </w:rPr>
            </w:pPr>
            <w:hyperlink r:id="rId7">
              <w:r w:rsidDel="00000000" w:rsidR="00000000" w:rsidRPr="00000000">
                <w:rPr>
                  <w:color w:val="1155cc"/>
                  <w:sz w:val="18"/>
                  <w:szCs w:val="18"/>
                  <w:u w:val="single"/>
                  <w:shd w:fill="ece6f5" w:val="clear"/>
                  <w:rtl w:val="0"/>
                </w:rPr>
                <w:t xml:space="preserve">https://www.sheffield.ac.uk/new-students/disability/support-worker-service</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3">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Pay Rate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4">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from £14.97 p/h, hours vary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5">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Grade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6">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Grade 5.1</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7">
            <w:pPr>
              <w:widowControl w:val="0"/>
              <w:rPr>
                <w:rFonts w:ascii="Source Sans Pro" w:cs="Source Sans Pro" w:eastAsia="Source Sans Pro" w:hAnsi="Source Sans Pro"/>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Contract Type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8">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Casual, hours vary</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spacing w:before="0" w:line="276" w:lineRule="auto"/>
        <w:rPr>
          <w:rFonts w:ascii="Source Sans Pro" w:cs="Source Sans Pro" w:eastAsia="Source Sans Pro" w:hAnsi="Source Sans Pro"/>
          <w:b w:val="1"/>
          <w:bCs w:val="1"/>
          <w:color w:val="232a3c"/>
          <w:sz w:val="28"/>
          <w:szCs w:val="28"/>
        </w:rPr>
      </w:pPr>
      <w:bookmarkStart w:colFirst="0" w:colLast="0" w:name="_tyjcwt" w:id="3"/>
      <w:bookmarkEnd w:id="3"/>
      <w:r w:rsidDel="00000000" w:rsidR="00000000" w:rsidRPr="00000000">
        <w:rPr>
          <w:rFonts w:ascii="Source Sans Pro" w:cs="Source Sans Pro" w:eastAsia="Source Sans Pro" w:hAnsi="Source Sans Pro"/>
          <w:b w:val="1"/>
          <w:bCs w:val="1"/>
          <w:color w:val="232a3c"/>
          <w:sz w:val="28"/>
          <w:szCs w:val="28"/>
          <w:rtl w:val="0"/>
        </w:rPr>
        <w:t xml:space="preserve">Person specification</w:t>
      </w:r>
    </w:p>
    <w:p w:rsidR="00000000" w:rsidDel="00000000" w:rsidP="00000000" w:rsidRDefault="00000000" w:rsidRPr="00000000" w14:paraId="0000001B">
      <w:pPr>
        <w:widowControl w:val="0"/>
        <w:spacing w:line="240" w:lineRule="auto"/>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22222"/>
          <w:highlight w:val="white"/>
          <w:rtl w:val="0"/>
        </w:rPr>
        <w:t xml:space="preserve">Our diverse community of staff and students recognises the unique abilities, backgrounds, and beliefs of all. We foster a culture where everyone feels they belong and are respected. </w:t>
      </w:r>
      <w:r w:rsidDel="00000000" w:rsidR="00000000" w:rsidRPr="00000000">
        <w:rPr>
          <w:rtl w:val="0"/>
        </w:rPr>
      </w:r>
    </w:p>
    <w:p w:rsidR="00000000" w:rsidDel="00000000" w:rsidP="00000000" w:rsidRDefault="00000000" w:rsidRPr="00000000" w14:paraId="0000001C">
      <w:pPr>
        <w:widowControl w:val="0"/>
        <w:spacing w:line="240" w:lineRule="auto"/>
        <w:rPr>
          <w:rFonts w:ascii="Source Sans Pro" w:cs="Source Sans Pro" w:eastAsia="Source Sans Pro" w:hAnsi="Source Sans Pro"/>
          <w:color w:val="232a3c"/>
          <w:sz w:val="24"/>
          <w:szCs w:val="24"/>
        </w:rPr>
      </w:pPr>
      <w:r w:rsidDel="00000000" w:rsidR="00000000" w:rsidRPr="00000000">
        <w:rPr>
          <w:rtl w:val="0"/>
        </w:rPr>
      </w:r>
    </w:p>
    <w:tbl>
      <w:tblPr>
        <w:tblStyle w:val="Table3"/>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1785"/>
        <w:tblGridChange w:id="0">
          <w:tblGrid>
            <w:gridCol w:w="7035"/>
            <w:gridCol w:w="17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1D">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Criteria</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1E">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 Desirable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Studying in final year UG or Postgraduate level at the University of Sheffield. </w:t>
            </w:r>
          </w:p>
          <w:p w:rsidR="00000000" w:rsidDel="00000000" w:rsidP="00000000" w:rsidRDefault="00000000" w:rsidRPr="00000000" w14:paraId="00000020">
            <w:pPr>
              <w:spacing w:line="276" w:lineRule="auto"/>
              <w:ind w:left="720" w:firstLine="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1">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 xml:space="preserve">Good Subject knowledge within your field of study</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3">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Fluency in English, proficient in grammar and clear spoken pronunciation.</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5">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6">
            <w:pPr>
              <w:spacing w:line="276" w:lineRule="auto"/>
              <w:rPr>
                <w:sz w:val="24"/>
                <w:szCs w:val="24"/>
              </w:rPr>
            </w:pPr>
            <w:r w:rsidDel="00000000" w:rsidR="00000000" w:rsidRPr="00000000">
              <w:rPr>
                <w:sz w:val="24"/>
                <w:szCs w:val="24"/>
                <w:rtl w:val="0"/>
              </w:rPr>
              <w:t xml:space="preserve">Ability to transcribe dictated information with speed and precision. </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7">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8">
            <w:pPr>
              <w:spacing w:line="276" w:lineRule="auto"/>
              <w:rPr>
                <w:rFonts w:ascii="Source Sans Pro" w:cs="Source Sans Pro" w:eastAsia="Source Sans Pro" w:hAnsi="Source Sans Pro"/>
                <w:color w:val="232a3c"/>
                <w:sz w:val="24"/>
                <w:szCs w:val="24"/>
              </w:rPr>
            </w:pPr>
            <w:r w:rsidDel="00000000" w:rsidR="00000000" w:rsidRPr="00000000">
              <w:rPr>
                <w:sz w:val="24"/>
                <w:szCs w:val="24"/>
                <w:rtl w:val="0"/>
              </w:rPr>
              <w:t xml:space="preserve">Ability to maintain confidentiality and to act in a professional discrete manner with students.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9">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A">
            <w:pPr>
              <w:spacing w:line="276" w:lineRule="auto"/>
              <w:rPr/>
            </w:pPr>
            <w:r w:rsidDel="00000000" w:rsidR="00000000" w:rsidRPr="00000000">
              <w:rPr>
                <w:sz w:val="24"/>
                <w:szCs w:val="24"/>
                <w:rtl w:val="0"/>
              </w:rPr>
              <w:t xml:space="preserve">Excellent interpersonal and communication skills, patience and enthusiasm.</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B">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C">
            <w:pPr>
              <w:spacing w:line="276" w:lineRule="auto"/>
              <w:rPr>
                <w:rFonts w:ascii="Source Sans Pro" w:cs="Source Sans Pro" w:eastAsia="Source Sans Pro" w:hAnsi="Source Sans Pro"/>
                <w:color w:val="232a3c"/>
                <w:sz w:val="24"/>
                <w:szCs w:val="24"/>
              </w:rPr>
            </w:pPr>
            <w:r w:rsidDel="00000000" w:rsidR="00000000" w:rsidRPr="00000000">
              <w:rPr>
                <w:sz w:val="24"/>
                <w:szCs w:val="24"/>
                <w:rtl w:val="0"/>
              </w:rPr>
              <w:t xml:space="preserve">Disability awareness, especially an understanding of the needs of students with various disabilities. For example; hearing or visual impairments, Autism Spectrum conditions or students with reduced mobility, (further training on this will be provided during induction).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D">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Desirable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Previous experience of working with people with disabilities or Specific Learning Differences (SpLD).</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F">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Desirable</w:t>
            </w:r>
          </w:p>
        </w:tc>
      </w:tr>
    </w:tbl>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pStyle w:val="Heading1"/>
        <w:spacing w:before="0" w:line="276" w:lineRule="auto"/>
        <w:rPr>
          <w:rFonts w:ascii="Source Sans Pro" w:cs="Source Sans Pro" w:eastAsia="Source Sans Pro" w:hAnsi="Source Sans Pro"/>
          <w:b w:val="1"/>
          <w:bCs w:val="1"/>
          <w:color w:val="232a3c"/>
          <w:sz w:val="28"/>
          <w:szCs w:val="28"/>
        </w:rPr>
      </w:pPr>
      <w:bookmarkStart w:colFirst="0" w:colLast="0" w:name="_ma25fgbla0fo" w:id="4"/>
      <w:bookmarkEnd w:id="4"/>
      <w:r w:rsidDel="00000000" w:rsidR="00000000" w:rsidRPr="00000000">
        <w:rPr>
          <w:rFonts w:ascii="Source Sans Pro" w:cs="Source Sans Pro" w:eastAsia="Source Sans Pro" w:hAnsi="Source Sans Pro"/>
          <w:b w:val="1"/>
          <w:bCs w:val="1"/>
          <w:color w:val="232a3c"/>
          <w:sz w:val="28"/>
          <w:szCs w:val="28"/>
          <w:rtl w:val="0"/>
        </w:rPr>
        <w:t xml:space="preserve">Main duties and responsibilities</w:t>
      </w:r>
    </w:p>
    <w:p w:rsidR="00000000" w:rsidDel="00000000" w:rsidP="00000000" w:rsidRDefault="00000000" w:rsidRPr="00000000" w14:paraId="00000032">
      <w:pPr>
        <w:rPr/>
      </w:pPr>
      <w:r w:rsidDel="00000000" w:rsidR="00000000" w:rsidRPr="00000000">
        <w:rPr>
          <w:rtl w:val="0"/>
        </w:rPr>
        <w:t xml:space="preserve">Below are some examples of what is required of an Exam support worker. </w:t>
      </w:r>
      <w:r w:rsidDel="00000000" w:rsidR="00000000" w:rsidRPr="00000000">
        <w:rPr>
          <w:rtl w:val="0"/>
        </w:rPr>
      </w:r>
    </w:p>
    <w:p w:rsidR="00000000" w:rsidDel="00000000" w:rsidP="00000000" w:rsidRDefault="00000000" w:rsidRPr="00000000" w14:paraId="00000033">
      <w:pPr>
        <w:spacing w:after="240" w:before="240" w:line="276" w:lineRule="auto"/>
        <w:rPr/>
      </w:pPr>
      <w:r w:rsidDel="00000000" w:rsidR="00000000" w:rsidRPr="00000000">
        <w:rPr>
          <w:rtl w:val="0"/>
        </w:rPr>
        <w:t xml:space="preserve">Working in various roles as Reader, Scribe or Prompt. This involves working 1:1 with a student during their exam. </w:t>
      </w:r>
    </w:p>
    <w:p w:rsidR="00000000" w:rsidDel="00000000" w:rsidP="00000000" w:rsidRDefault="00000000" w:rsidRPr="00000000" w14:paraId="00000034">
      <w:pPr>
        <w:spacing w:after="240" w:before="240" w:line="276" w:lineRule="auto"/>
        <w:rPr/>
      </w:pPr>
      <w:r w:rsidDel="00000000" w:rsidR="00000000" w:rsidRPr="00000000">
        <w:rPr>
          <w:b w:val="1"/>
          <w:bCs w:val="1"/>
          <w:sz w:val="24"/>
          <w:szCs w:val="24"/>
          <w:rtl w:val="0"/>
        </w:rPr>
        <w:t xml:space="preserve">Reader: </w:t>
      </w:r>
      <w:r w:rsidDel="00000000" w:rsidR="00000000" w:rsidRPr="00000000">
        <w:rPr>
          <w:rtl w:val="0"/>
        </w:rPr>
        <w:t xml:space="preserve">An Exam Reader, reads the exam question aloud to the student. The Reader will also read the written answer back to the student so they can listen and correct any details before submitting their answer. This role requires </w:t>
      </w:r>
      <w:r w:rsidDel="00000000" w:rsidR="00000000" w:rsidRPr="00000000">
        <w:rPr>
          <w:b w:val="1"/>
          <w:bCs w:val="1"/>
          <w:rtl w:val="0"/>
        </w:rPr>
        <w:t xml:space="preserve">subject knowledge</w:t>
      </w:r>
      <w:r w:rsidDel="00000000" w:rsidR="00000000" w:rsidRPr="00000000">
        <w:rPr>
          <w:rtl w:val="0"/>
        </w:rPr>
        <w:t xml:space="preserve"> for technical language and </w:t>
      </w:r>
      <w:r w:rsidDel="00000000" w:rsidR="00000000" w:rsidRPr="00000000">
        <w:rPr>
          <w:b w:val="1"/>
          <w:bCs w:val="1"/>
          <w:rtl w:val="0"/>
        </w:rPr>
        <w:t xml:space="preserve">clear spoken pronunciation</w:t>
      </w:r>
      <w:r w:rsidDel="00000000" w:rsidR="00000000" w:rsidRPr="00000000">
        <w:rPr>
          <w:rtl w:val="0"/>
        </w:rPr>
        <w:t xml:space="preserve">.</w:t>
      </w:r>
    </w:p>
    <w:p w:rsidR="00000000" w:rsidDel="00000000" w:rsidP="00000000" w:rsidRDefault="00000000" w:rsidRPr="00000000" w14:paraId="00000035">
      <w:pPr>
        <w:spacing w:after="240" w:before="240" w:line="276" w:lineRule="auto"/>
        <w:rPr/>
      </w:pPr>
      <w:r w:rsidDel="00000000" w:rsidR="00000000" w:rsidRPr="00000000">
        <w:rPr>
          <w:b w:val="1"/>
          <w:bCs w:val="1"/>
          <w:sz w:val="24"/>
          <w:szCs w:val="24"/>
          <w:rtl w:val="0"/>
        </w:rPr>
        <w:t xml:space="preserve">Scribe:</w:t>
      </w:r>
      <w:r w:rsidDel="00000000" w:rsidR="00000000" w:rsidRPr="00000000">
        <w:rPr>
          <w:rtl w:val="0"/>
        </w:rPr>
        <w:t xml:space="preserve"> An Exam Scribe (or sometimes called an Amanuensis), writes the exam answer that the student dictates to them. This role requires </w:t>
      </w:r>
      <w:r w:rsidDel="00000000" w:rsidR="00000000" w:rsidRPr="00000000">
        <w:rPr>
          <w:b w:val="1"/>
          <w:bCs w:val="1"/>
          <w:rtl w:val="0"/>
        </w:rPr>
        <w:t xml:space="preserve">clear handwriting, strong spelling and grammar skills</w:t>
      </w:r>
      <w:r w:rsidDel="00000000" w:rsidR="00000000" w:rsidRPr="00000000">
        <w:rPr>
          <w:rtl w:val="0"/>
        </w:rPr>
        <w:t xml:space="preserve">, and</w:t>
      </w:r>
      <w:r w:rsidDel="00000000" w:rsidR="00000000" w:rsidRPr="00000000">
        <w:rPr>
          <w:b w:val="1"/>
          <w:bCs w:val="1"/>
          <w:rtl w:val="0"/>
        </w:rPr>
        <w:t xml:space="preserve"> subject knowledge</w:t>
      </w:r>
      <w:r w:rsidDel="00000000" w:rsidR="00000000" w:rsidRPr="00000000">
        <w:rPr>
          <w:rtl w:val="0"/>
        </w:rPr>
        <w:t xml:space="preserve"> to handle any technical language. Often, the Scribe also acts as a Reader, who reads the exam questions to the student.</w:t>
      </w:r>
    </w:p>
    <w:p w:rsidR="00000000" w:rsidDel="00000000" w:rsidP="00000000" w:rsidRDefault="00000000" w:rsidRPr="00000000" w14:paraId="00000036">
      <w:pPr>
        <w:spacing w:after="240" w:before="240" w:line="276" w:lineRule="auto"/>
        <w:rPr/>
      </w:pPr>
      <w:r w:rsidDel="00000000" w:rsidR="00000000" w:rsidRPr="00000000">
        <w:rPr>
          <w:b w:val="1"/>
          <w:bCs w:val="1"/>
          <w:sz w:val="24"/>
          <w:szCs w:val="24"/>
          <w:rtl w:val="0"/>
        </w:rPr>
        <w:t xml:space="preserve">Prompt:</w:t>
      </w:r>
      <w:r w:rsidDel="00000000" w:rsidR="00000000" w:rsidRPr="00000000">
        <w:rPr>
          <w:b w:val="1"/>
          <w:bCs w:val="1"/>
          <w:rtl w:val="0"/>
        </w:rPr>
        <w:t xml:space="preserve"> </w:t>
      </w:r>
      <w:r w:rsidDel="00000000" w:rsidR="00000000" w:rsidRPr="00000000">
        <w:rPr>
          <w:rtl w:val="0"/>
        </w:rPr>
        <w:t xml:space="preserve">The role of an exam prompt is to help with time-keeping and helping the student remain on task in an exam. An Exam Prompt does not need to have subject knowledge, but will need to understand the structure of the exam and be able to work closely with the student and notice non-verbal cues. This role requires a general understanding of </w:t>
      </w:r>
      <w:r w:rsidDel="00000000" w:rsidR="00000000" w:rsidRPr="00000000">
        <w:rPr>
          <w:b w:val="1"/>
          <w:bCs w:val="1"/>
          <w:rtl w:val="0"/>
        </w:rPr>
        <w:t xml:space="preserve">disabled awareness</w:t>
      </w:r>
      <w:r w:rsidDel="00000000" w:rsidR="00000000" w:rsidRPr="00000000">
        <w:rPr>
          <w:rtl w:val="0"/>
        </w:rPr>
        <w:t xml:space="preserve">. </w:t>
      </w:r>
    </w:p>
    <w:p w:rsidR="00000000" w:rsidDel="00000000" w:rsidP="00000000" w:rsidRDefault="00000000" w:rsidRPr="00000000" w14:paraId="00000037">
      <w:pPr>
        <w:spacing w:after="240" w:before="240" w:line="276" w:lineRule="auto"/>
        <w:rPr/>
      </w:pPr>
      <w:r w:rsidDel="00000000" w:rsidR="00000000" w:rsidRPr="00000000">
        <w:rPr>
          <w:b w:val="1"/>
          <w:bCs w:val="1"/>
          <w:sz w:val="24"/>
          <w:szCs w:val="24"/>
          <w:rtl w:val="0"/>
        </w:rPr>
        <w:t xml:space="preserve">How to Apply:</w:t>
      </w:r>
      <w:r w:rsidDel="00000000" w:rsidR="00000000" w:rsidRPr="00000000">
        <w:rPr>
          <w:rtl w:val="0"/>
        </w:rPr>
      </w:r>
    </w:p>
    <w:p w:rsidR="00000000" w:rsidDel="00000000" w:rsidP="00000000" w:rsidRDefault="00000000" w:rsidRPr="00000000" w14:paraId="00000038">
      <w:pPr>
        <w:numPr>
          <w:ilvl w:val="0"/>
          <w:numId w:val="1"/>
        </w:numPr>
        <w:spacing w:after="240" w:before="240" w:line="276" w:lineRule="auto"/>
        <w:ind w:left="720" w:hanging="360"/>
        <w:rPr>
          <w:sz w:val="24"/>
          <w:szCs w:val="24"/>
        </w:rPr>
      </w:pPr>
      <w:r w:rsidDel="00000000" w:rsidR="00000000" w:rsidRPr="00000000">
        <w:rPr>
          <w:sz w:val="24"/>
          <w:szCs w:val="24"/>
          <w:rtl w:val="0"/>
        </w:rPr>
        <w:t xml:space="preserve">Please complete the </w:t>
      </w:r>
      <w:hyperlink r:id="rId8">
        <w:r w:rsidDel="00000000" w:rsidR="00000000" w:rsidRPr="00000000">
          <w:rPr>
            <w:color w:val="1155cc"/>
            <w:sz w:val="24"/>
            <w:szCs w:val="24"/>
            <w:u w:val="single"/>
            <w:rtl w:val="0"/>
          </w:rPr>
          <w:t xml:space="preserve">Exam Work Expression of Interest 2025/26</w:t>
        </w:r>
      </w:hyperlink>
      <w:r w:rsidDel="00000000" w:rsidR="00000000" w:rsidRPr="00000000">
        <w:rPr>
          <w:rtl w:val="0"/>
        </w:rPr>
      </w:r>
    </w:p>
    <w:p w:rsidR="00000000" w:rsidDel="00000000" w:rsidP="00000000" w:rsidRDefault="00000000" w:rsidRPr="00000000" w14:paraId="00000039">
      <w:pPr>
        <w:numPr>
          <w:ilvl w:val="0"/>
          <w:numId w:val="1"/>
        </w:numPr>
        <w:spacing w:after="240" w:before="240" w:line="276" w:lineRule="auto"/>
        <w:ind w:left="720" w:hanging="360"/>
        <w:rPr>
          <w:sz w:val="24"/>
          <w:szCs w:val="24"/>
        </w:rPr>
      </w:pPr>
      <w:r w:rsidDel="00000000" w:rsidR="00000000" w:rsidRPr="00000000">
        <w:rPr>
          <w:sz w:val="24"/>
          <w:szCs w:val="24"/>
          <w:rtl w:val="0"/>
        </w:rPr>
        <w:t xml:space="preserve">By completing the expression of interest form your university email address will be added to our mailing list. Please note, this is not a guarantee of work. Our support requirements depend on referrals and the needs of the students we support.</w:t>
      </w:r>
    </w:p>
    <w:p w:rsidR="00000000" w:rsidDel="00000000" w:rsidP="00000000" w:rsidRDefault="00000000" w:rsidRPr="00000000" w14:paraId="0000003A">
      <w:pPr>
        <w:spacing w:after="240" w:before="240" w:line="276" w:lineRule="auto"/>
        <w:ind w:left="720" w:firstLine="0"/>
        <w:rPr>
          <w:sz w:val="24"/>
          <w:szCs w:val="24"/>
        </w:rPr>
      </w:pPr>
      <w:r w:rsidDel="00000000" w:rsidR="00000000" w:rsidRPr="00000000">
        <w:rPr>
          <w:sz w:val="24"/>
          <w:szCs w:val="24"/>
          <w:rtl w:val="0"/>
        </w:rPr>
        <w:t xml:space="preserve">If a suitable vacancy is available we will contact our mailing list and assign work from the respondents. This work is offered on a casual basis and may be withdrawn if no longer required by the student being supported. </w:t>
      </w:r>
    </w:p>
    <w:p w:rsidR="00000000" w:rsidDel="00000000" w:rsidP="00000000" w:rsidRDefault="00000000" w:rsidRPr="00000000" w14:paraId="0000003B">
      <w:pPr>
        <w:spacing w:after="240" w:before="240" w:line="276" w:lineRule="auto"/>
        <w:ind w:left="720" w:firstLine="0"/>
        <w:rPr>
          <w:sz w:val="24"/>
          <w:szCs w:val="24"/>
        </w:rPr>
      </w:pPr>
      <w:r w:rsidDel="00000000" w:rsidR="00000000" w:rsidRPr="00000000">
        <w:rPr>
          <w:sz w:val="24"/>
          <w:szCs w:val="24"/>
          <w:rtl w:val="0"/>
        </w:rPr>
        <w:t xml:space="preserve">All support workers need to complete induction training and a Right to Work check before starting work. </w:t>
      </w:r>
    </w:p>
    <w:p w:rsidR="00000000" w:rsidDel="00000000" w:rsidP="00000000" w:rsidRDefault="00000000" w:rsidRPr="00000000" w14:paraId="0000003C">
      <w:pPr>
        <w:spacing w:line="276" w:lineRule="auto"/>
        <w:jc w:val="center"/>
        <w:rPr/>
      </w:pPr>
      <w:r w:rsidDel="00000000" w:rsidR="00000000" w:rsidRPr="00000000">
        <w:rPr>
          <w:sz w:val="24"/>
          <w:szCs w:val="24"/>
          <w:rtl w:val="0"/>
        </w:rPr>
        <w:t xml:space="preserve">The </w:t>
      </w:r>
      <w:hyperlink r:id="rId9">
        <w:r w:rsidDel="00000000" w:rsidR="00000000" w:rsidRPr="00000000">
          <w:rPr>
            <w:color w:val="1155cc"/>
            <w:sz w:val="24"/>
            <w:szCs w:val="24"/>
            <w:u w:val="single"/>
            <w:rtl w:val="0"/>
          </w:rPr>
          <w:t xml:space="preserve">Support Worker Service</w:t>
        </w:r>
      </w:hyperlink>
      <w:r w:rsidDel="00000000" w:rsidR="00000000" w:rsidRPr="00000000">
        <w:rPr>
          <w:sz w:val="24"/>
          <w:szCs w:val="24"/>
          <w:rtl w:val="0"/>
        </w:rPr>
        <w:t xml:space="preserve"> sits within the </w:t>
      </w:r>
      <w:hyperlink r:id="rId10">
        <w:r w:rsidDel="00000000" w:rsidR="00000000" w:rsidRPr="00000000">
          <w:rPr>
            <w:color w:val="1155cc"/>
            <w:sz w:val="24"/>
            <w:szCs w:val="24"/>
            <w:u w:val="single"/>
            <w:rtl w:val="0"/>
          </w:rPr>
          <w:t xml:space="preserve">Disability and Dyslexia Support Service</w:t>
        </w:r>
      </w:hyperlink>
      <w:r w:rsidDel="00000000" w:rsidR="00000000" w:rsidRPr="00000000">
        <w:rPr>
          <w:sz w:val="24"/>
          <w:szCs w:val="24"/>
          <w:rtl w:val="0"/>
        </w:rPr>
        <w:t xml:space="preserve"> at the University of Sheffield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taff.sheffield.ac.uk/student-support-services/disability" TargetMode="External"/><Relationship Id="rId9" Type="http://schemas.openxmlformats.org/officeDocument/2006/relationships/hyperlink" Target="https://www.sheffield.ac.uk/new-students/disability/support-worker-servic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heffield.ac.uk/new-students/disability/support-worker-service" TargetMode="External"/><Relationship Id="rId8" Type="http://schemas.openxmlformats.org/officeDocument/2006/relationships/hyperlink" Target="https://forms.gle/Eb3X2gUU9KKVVHc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